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AFFIDAMENTO DEI LAVORI DI INTERVENTO DI RIQUALIFICAZIONE ENERGETICA E MIGLIORAMENTO SISMICO DEGLI APPARTAMENTI DI EDILIZIA RESIDENZIALE PUBBLICA - COMUNE DI SAN ZENONE AL LAMBRO (MI).</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gjdgxs" w:id="0"/>
      <w:bookmarkEnd w:id="0"/>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30j0zll" w:id="1"/>
      <w:bookmarkEnd w:id="1"/>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1fob9te" w:id="2"/>
      <w:bookmarkEnd w:id="2"/>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bookmarkStart w:colFirst="0" w:colLast="0" w:name="_3znysh7" w:id="3"/>
      <w:bookmarkEnd w:id="3"/>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highlight w:val="white"/>
          <w:rtl w:val="0"/>
        </w:rPr>
        <w:t xml:space="preserve"> OG1 III prevalente OS28 - OS30 subappaltabili (</w:t>
      </w:r>
      <w:r w:rsidDel="00000000" w:rsidR="00000000" w:rsidRPr="00000000">
        <w:rPr>
          <w:highlight w:val="white"/>
          <w:rtl w:val="0"/>
        </w:rPr>
        <w:t xml:space="preserve">come da tabella in avviso)</w:t>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EDIFICI CIVILI E INDUSTRIALI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sz w:val="20"/>
                <w:szCs w:val="20"/>
                <w:rtl w:val="0"/>
              </w:rPr>
              <w:t xml:space="preserve">OS28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IMPIANTI TERMICI E DI CONDIZIONAMENTO</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sz w:val="20"/>
                <w:szCs w:val="20"/>
                <w:rtl w:val="0"/>
              </w:rPr>
              <w:t xml:space="preserve">Categoria subappaltabile</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b w:val="1"/>
                <w:sz w:val="20"/>
                <w:szCs w:val="20"/>
                <w:rtl w:val="0"/>
              </w:rPr>
              <w:t xml:space="preserve">OS30</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IMPIANTI INTERNI ELETTRICI, TELEFONICI, RADIOTELEFONICI, E TELEVISIVI</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E">
            <w:pPr>
              <w:widowControl w:val="1"/>
              <w:spacing w:after="0" w:line="317" w:lineRule="auto"/>
              <w:rPr>
                <w:sz w:val="20"/>
                <w:szCs w:val="20"/>
              </w:rPr>
            </w:pPr>
            <w:r w:rsidDel="00000000" w:rsidR="00000000" w:rsidRPr="00000000">
              <w:rPr>
                <w:sz w:val="20"/>
                <w:szCs w:val="20"/>
                <w:rtl w:val="0"/>
              </w:rPr>
              <w:t xml:space="preserve">Categoria subappaltabile</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51">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52">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54">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OG3 II, e nulla in contrasto su quanto richiesto, viste le motivazioni indicate nell’avviso;</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